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78" w:rsidRPr="00E71978" w:rsidRDefault="00E71978" w:rsidP="000D35DC">
      <w:pPr>
        <w:pStyle w:val="a3"/>
        <w:spacing w:line="360" w:lineRule="auto"/>
        <w:ind w:left="436" w:hanging="436"/>
        <w:jc w:val="left"/>
        <w:rPr>
          <w:rFonts w:ascii="標楷體" w:hAnsi="標楷體"/>
          <w:b/>
          <w:sz w:val="28"/>
        </w:rPr>
      </w:pPr>
      <w:bookmarkStart w:id="0" w:name="_Toc205364515"/>
      <w:bookmarkStart w:id="1" w:name="_Toc205364516"/>
      <w:bookmarkStart w:id="2" w:name="_Toc327615704"/>
      <w:r w:rsidRPr="00E71978">
        <w:rPr>
          <w:rFonts w:ascii="標楷體" w:hAnsi="標楷體"/>
          <w:b/>
          <w:sz w:val="28"/>
        </w:rPr>
        <w:t>附件三、</w:t>
      </w:r>
      <w:r w:rsidR="000D35DC" w:rsidRPr="000D35DC">
        <w:rPr>
          <w:rFonts w:ascii="標楷體" w:hAnsi="標楷體"/>
          <w:b/>
          <w:sz w:val="28"/>
        </w:rPr>
        <w:t>臺北市立南港高</w:t>
      </w:r>
      <w:r w:rsidR="000D35DC" w:rsidRPr="000D35DC">
        <w:rPr>
          <w:rFonts w:ascii="標楷體" w:hAnsi="標楷體" w:hint="eastAsia"/>
          <w:b/>
          <w:sz w:val="28"/>
        </w:rPr>
        <w:t>級</w:t>
      </w:r>
      <w:r w:rsidR="000D35DC" w:rsidRPr="000D35DC">
        <w:rPr>
          <w:rFonts w:ascii="標楷體" w:hAnsi="標楷體"/>
          <w:b/>
          <w:sz w:val="28"/>
        </w:rPr>
        <w:t>工</w:t>
      </w:r>
      <w:r w:rsidR="000D35DC" w:rsidRPr="000D35DC">
        <w:rPr>
          <w:rFonts w:ascii="標楷體" w:hAnsi="標楷體" w:hint="eastAsia"/>
          <w:b/>
          <w:sz w:val="28"/>
        </w:rPr>
        <w:t>業職業學校</w:t>
      </w:r>
      <w:r w:rsidRPr="00E71978">
        <w:rPr>
          <w:rFonts w:ascii="標楷體" w:hAnsi="標楷體"/>
          <w:b/>
          <w:sz w:val="28"/>
        </w:rPr>
        <w:t>學生懷孕受教權維護及輔導協助分工原則</w:t>
      </w:r>
    </w:p>
    <w:p w:rsidR="00E71978" w:rsidRPr="00993AEC" w:rsidRDefault="00E71978" w:rsidP="00E71978">
      <w:pPr>
        <w:widowControl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一、學校應擬定學生懷孕受教權維護及輔導協助分工表，得依職責劃分為相關行政單位與輔導單位任務分組，其主要任務如下：</w:t>
      </w:r>
    </w:p>
    <w:p w:rsidR="00E71978" w:rsidRPr="00993AEC" w:rsidRDefault="00E71978" w:rsidP="00E71978">
      <w:pPr>
        <w:widowControl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(一)相關行政單位：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教務、學務單位應修正學則、各種章則、成績考查或評量之相關規定，納入入學資格保留、延長修業期限、請假規定、申請休學期間不計入休學年限、缺課及成績考核彈性處理之輔導協助措施，協助適用學生完成學業。但法規另有規定者，不在此限。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學校應運用相關經費，或向各級主管教育行政機關申請補助，辦理適用學生之輔導及多元適性教育。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學校應改善校園相關設施，提供適用學生友善安全之學習環境。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學校應設置專人管理之網站、專用信箱、電話或電子郵件帳號，並運用集會、教學或教師進修加強宣導，使適用學生能有隱私及安心地主動求助。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視適用學生之需要，結合相關資源，提供其多元適性教育方案， 內容應包含下列事項：</w:t>
      </w:r>
    </w:p>
    <w:p w:rsidR="00E71978" w:rsidRPr="00993AEC" w:rsidRDefault="00E71978" w:rsidP="00E71978">
      <w:pPr>
        <w:widowControl/>
        <w:numPr>
          <w:ilvl w:val="1"/>
          <w:numId w:val="6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學業輔導：協助完成學制內之課程。</w:t>
      </w:r>
    </w:p>
    <w:p w:rsidR="00E71978" w:rsidRPr="00993AEC" w:rsidRDefault="00E71978" w:rsidP="00E71978">
      <w:pPr>
        <w:widowControl/>
        <w:numPr>
          <w:ilvl w:val="1"/>
          <w:numId w:val="6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因懷孕所產生之需求：協調提供孕程保健諮詢、嬰幼兒保育諮詢、孕程及產後照護、預防非預期性懷孕知能、家庭教育等。</w:t>
      </w:r>
    </w:p>
    <w:p w:rsidR="00E71978" w:rsidRPr="00993AEC" w:rsidRDefault="00E71978" w:rsidP="00E71978">
      <w:pPr>
        <w:widowControl/>
        <w:numPr>
          <w:ilvl w:val="1"/>
          <w:numId w:val="6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生涯規劃：生涯規劃輔導及技職訓練課程等。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整合校內外資源：</w:t>
      </w:r>
    </w:p>
    <w:p w:rsidR="00E71978" w:rsidRPr="00993AEC" w:rsidRDefault="00E71978" w:rsidP="00E71978">
      <w:pPr>
        <w:widowControl/>
        <w:numPr>
          <w:ilvl w:val="0"/>
          <w:numId w:val="9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學校應提供經費，安排課程時間、場地、遴選合適教師，進行必要之輔導協助措施。</w:t>
      </w:r>
    </w:p>
    <w:p w:rsidR="00E71978" w:rsidRPr="00993AEC" w:rsidRDefault="00E71978" w:rsidP="00E71978">
      <w:pPr>
        <w:widowControl/>
        <w:numPr>
          <w:ilvl w:val="0"/>
          <w:numId w:val="9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各處室應相互合作，協助適用學生及其家庭運用校內外資源，以因應可能之家庭生活困境及托育需求。</w:t>
      </w:r>
    </w:p>
    <w:p w:rsidR="00E71978" w:rsidRPr="00993AEC" w:rsidRDefault="00E71978" w:rsidP="00E71978">
      <w:pPr>
        <w:widowControl/>
        <w:numPr>
          <w:ilvl w:val="0"/>
          <w:numId w:val="7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學校應提供適用學生無障礙學習環境，總務單位應視學生之需求，規劃下列設施：</w:t>
      </w:r>
    </w:p>
    <w:p w:rsidR="00E71978" w:rsidRPr="00993AEC" w:rsidRDefault="00E71978" w:rsidP="00E71978">
      <w:pPr>
        <w:widowControl/>
        <w:numPr>
          <w:ilvl w:val="0"/>
          <w:numId w:val="8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合乎需要之教室安排、課桌椅調整、停車設施、如廁地點等。</w:t>
      </w:r>
    </w:p>
    <w:p w:rsidR="00E71978" w:rsidRPr="00993AEC" w:rsidRDefault="00E71978" w:rsidP="00E71978">
      <w:pPr>
        <w:widowControl/>
        <w:numPr>
          <w:ilvl w:val="0"/>
          <w:numId w:val="8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健康中心設備器材之增購等。</w:t>
      </w:r>
    </w:p>
    <w:p w:rsidR="00E71978" w:rsidRPr="00993AEC" w:rsidRDefault="00E71978" w:rsidP="00E71978">
      <w:pPr>
        <w:widowControl/>
        <w:numPr>
          <w:ilvl w:val="0"/>
          <w:numId w:val="8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提供哺（集）</w:t>
      </w:r>
      <w:r w:rsidR="007B52E8" w:rsidRPr="00993AEC">
        <w:rPr>
          <w:rFonts w:ascii="標楷體" w:eastAsia="標楷體" w:hAnsi="標楷體"/>
        </w:rPr>
        <w:t>母乳</w:t>
      </w:r>
      <w:r w:rsidRPr="00993AEC">
        <w:rPr>
          <w:rFonts w:ascii="標楷體" w:eastAsia="標楷體" w:hAnsi="標楷體"/>
        </w:rPr>
        <w:t>之相關設施。</w:t>
      </w:r>
    </w:p>
    <w:p w:rsidR="00E71978" w:rsidRPr="00993AEC" w:rsidRDefault="00E71978" w:rsidP="00E71978">
      <w:pPr>
        <w:widowControl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(二)輔導單位：</w:t>
      </w:r>
    </w:p>
    <w:p w:rsidR="00E71978" w:rsidRPr="00993AEC" w:rsidRDefault="00E71978" w:rsidP="00AA7258">
      <w:pPr>
        <w:widowControl/>
        <w:numPr>
          <w:ilvl w:val="0"/>
          <w:numId w:val="10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成立輔導團隊，其成員得包括學生輔導單位主管、校護、專業輔導人員、導師、性別平等教育委員會委員，並得聘任校外輔導專業人士擔任諮詢顧問。</w:t>
      </w:r>
    </w:p>
    <w:p w:rsidR="00E71978" w:rsidRPr="00993AEC" w:rsidRDefault="00E71978" w:rsidP="00AA7258">
      <w:pPr>
        <w:widowControl/>
        <w:numPr>
          <w:ilvl w:val="0"/>
          <w:numId w:val="10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分派合適之輔導老師進行諮詢輔導。</w:t>
      </w:r>
    </w:p>
    <w:p w:rsidR="00E71978" w:rsidRPr="00993AEC" w:rsidRDefault="00E71978" w:rsidP="00AA7258">
      <w:pPr>
        <w:widowControl/>
        <w:numPr>
          <w:ilvl w:val="0"/>
          <w:numId w:val="10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輔導團隊得召開個案會議擬定輔導計畫，並適時修正。</w:t>
      </w:r>
    </w:p>
    <w:p w:rsidR="00E71978" w:rsidRPr="00993AEC" w:rsidRDefault="00E71978" w:rsidP="00AA7258">
      <w:pPr>
        <w:widowControl/>
        <w:numPr>
          <w:ilvl w:val="0"/>
          <w:numId w:val="10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建立學生懷孕受教權維護及輔導協助紀錄，並依專業倫理妥適保存及管理其資料。</w:t>
      </w:r>
    </w:p>
    <w:p w:rsidR="00E71978" w:rsidRPr="00993AEC" w:rsidRDefault="00E71978" w:rsidP="00AA7258">
      <w:pPr>
        <w:widowControl/>
        <w:numPr>
          <w:ilvl w:val="0"/>
          <w:numId w:val="10"/>
        </w:numPr>
        <w:ind w:left="709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輔導內容得包括：</w:t>
      </w:r>
    </w:p>
    <w:p w:rsidR="00E71978" w:rsidRPr="00993AEC" w:rsidRDefault="00E71978" w:rsidP="00AA7258">
      <w:pPr>
        <w:widowControl/>
        <w:numPr>
          <w:ilvl w:val="1"/>
          <w:numId w:val="10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提供適用學生個別輔導、諮詢及相關決定之資訊。</w:t>
      </w:r>
    </w:p>
    <w:p w:rsidR="00E71978" w:rsidRPr="00993AEC" w:rsidRDefault="00E71978" w:rsidP="00AA7258">
      <w:pPr>
        <w:widowControl/>
        <w:numPr>
          <w:ilvl w:val="1"/>
          <w:numId w:val="10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依適用學生之需要協助安置、托育及相關社會福利資源轉介。</w:t>
      </w:r>
    </w:p>
    <w:p w:rsidR="00E71978" w:rsidRPr="00993AEC" w:rsidRDefault="00E71978" w:rsidP="00AA7258">
      <w:pPr>
        <w:widowControl/>
        <w:numPr>
          <w:ilvl w:val="1"/>
          <w:numId w:val="10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/>
        </w:rPr>
        <w:t>提供適用學生家庭諮詢及支持，並視需要提供其家長諮詢及協助。</w:t>
      </w:r>
    </w:p>
    <w:p w:rsidR="00E71978" w:rsidRPr="00993AEC" w:rsidRDefault="00E71978" w:rsidP="00AA7258">
      <w:pPr>
        <w:widowControl/>
        <w:numPr>
          <w:ilvl w:val="1"/>
          <w:numId w:val="10"/>
        </w:numPr>
        <w:ind w:left="1134"/>
        <w:jc w:val="both"/>
        <w:rPr>
          <w:rFonts w:ascii="標楷體" w:eastAsia="標楷體" w:hAnsi="標楷體"/>
        </w:rPr>
      </w:pPr>
      <w:r w:rsidRPr="00993AEC">
        <w:rPr>
          <w:rFonts w:ascii="標楷體" w:eastAsia="標楷體" w:hAnsi="標楷體" w:hint="eastAsia"/>
        </w:rPr>
        <w:t>視需要提供班級團體輔導。</w:t>
      </w:r>
    </w:p>
    <w:p w:rsidR="00AA7258" w:rsidRDefault="00AA7258">
      <w:pPr>
        <w:widowControl/>
        <w:rPr>
          <w:rFonts w:ascii="標楷體" w:eastAsia="標楷體" w:hAnsi="標楷體"/>
          <w:w w:val="110"/>
        </w:rPr>
      </w:pPr>
      <w:r>
        <w:rPr>
          <w:rFonts w:ascii="標楷體" w:eastAsia="標楷體" w:hAnsi="標楷體"/>
          <w:w w:val="110"/>
        </w:rPr>
        <w:br w:type="page"/>
      </w:r>
    </w:p>
    <w:tbl>
      <w:tblPr>
        <w:tblStyle w:val="TableNormal"/>
        <w:tblpPr w:leftFromText="180" w:rightFromText="180" w:vertAnchor="text" w:horzAnchor="margin" w:tblpY="1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1345"/>
        <w:gridCol w:w="7461"/>
      </w:tblGrid>
      <w:tr w:rsidR="00993AEC" w:rsidRPr="003F314E" w:rsidTr="00993AEC">
        <w:trPr>
          <w:trHeight w:val="560"/>
        </w:trPr>
        <w:tc>
          <w:tcPr>
            <w:tcW w:w="5000" w:type="pct"/>
            <w:gridSpan w:val="3"/>
          </w:tcPr>
          <w:p w:rsidR="00993AEC" w:rsidRPr="003F314E" w:rsidRDefault="00993AEC" w:rsidP="00993AEC">
            <w:pPr>
              <w:pStyle w:val="TableParagraph"/>
              <w:spacing w:before="49" w:line="276" w:lineRule="auto"/>
              <w:ind w:left="503" w:hanging="503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3F314E">
              <w:rPr>
                <w:rFonts w:ascii="標楷體" w:eastAsia="標楷體" w:hAnsi="標楷體" w:hint="eastAsia"/>
                <w:sz w:val="32"/>
                <w:lang w:eastAsia="zh-TW"/>
              </w:rPr>
              <w:lastRenderedPageBreak/>
              <w:t>臺北市立南港高工</w:t>
            </w:r>
            <w:r w:rsidRPr="003F314E">
              <w:rPr>
                <w:rFonts w:ascii="標楷體" w:eastAsia="標楷體" w:hAnsi="標楷體"/>
                <w:sz w:val="32"/>
                <w:lang w:eastAsia="zh-TW"/>
              </w:rPr>
              <w:t>學生懷孕受教權維護及輔導協助分工表</w:t>
            </w:r>
          </w:p>
        </w:tc>
      </w:tr>
      <w:tr w:rsidR="00993AEC" w:rsidRPr="003F314E" w:rsidTr="00993AEC">
        <w:trPr>
          <w:trHeight w:val="460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993AEC" w:rsidRPr="003F314E" w:rsidRDefault="00993AEC" w:rsidP="00993AEC">
            <w:pPr>
              <w:pStyle w:val="TableParagraph"/>
              <w:spacing w:before="89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相關行政單位</w:t>
            </w:r>
          </w:p>
        </w:tc>
      </w:tr>
      <w:tr w:rsidR="00993AEC" w:rsidRPr="003F314E" w:rsidTr="00993AEC">
        <w:trPr>
          <w:trHeight w:val="46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:rsidR="00993AEC" w:rsidRPr="003F314E" w:rsidRDefault="00993AEC" w:rsidP="00993AEC">
            <w:pPr>
              <w:pStyle w:val="TableParagraph"/>
              <w:spacing w:before="89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單位/職稱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993AEC" w:rsidRPr="003F314E" w:rsidRDefault="00993AEC" w:rsidP="00993AEC">
            <w:pPr>
              <w:pStyle w:val="TableParagraph"/>
              <w:spacing w:before="89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人員</w:t>
            </w:r>
          </w:p>
        </w:tc>
        <w:tc>
          <w:tcPr>
            <w:tcW w:w="3568" w:type="pct"/>
            <w:shd w:val="clear" w:color="auto" w:fill="D9D9D9" w:themeFill="background1" w:themeFillShade="D9"/>
            <w:vAlign w:val="center"/>
          </w:tcPr>
          <w:p w:rsidR="00993AEC" w:rsidRPr="003F314E" w:rsidRDefault="00993AEC" w:rsidP="00993AEC">
            <w:pPr>
              <w:pStyle w:val="TableParagraph"/>
              <w:spacing w:before="89" w:line="0" w:lineRule="atLeast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負責項目</w:t>
            </w:r>
          </w:p>
        </w:tc>
      </w:tr>
      <w:tr w:rsidR="00993AEC" w:rsidRPr="003F314E" w:rsidTr="00993AEC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78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教務處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96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教學組</w:t>
            </w:r>
          </w:p>
        </w:tc>
        <w:tc>
          <w:tcPr>
            <w:tcW w:w="3568" w:type="pct"/>
          </w:tcPr>
          <w:p w:rsidR="00993AEC" w:rsidRPr="00BE34F0" w:rsidRDefault="00993AEC" w:rsidP="00993AEC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視學生身心狀況，召開課程、評分相關會議，讓學生在安心、穩定的環境下學習：</w:t>
            </w:r>
          </w:p>
          <w:p w:rsidR="00993AEC" w:rsidRPr="00BE34F0" w:rsidRDefault="00993AEC" w:rsidP="00993AEC">
            <w:pPr>
              <w:pStyle w:val="TableParagraph"/>
              <w:numPr>
                <w:ilvl w:val="0"/>
                <w:numId w:val="12"/>
              </w:numPr>
              <w:ind w:left="435" w:hanging="43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調整學生上課模式，避免激烈運動或久站。</w:t>
            </w:r>
          </w:p>
          <w:p w:rsidR="00993AEC" w:rsidRPr="00BE34F0" w:rsidRDefault="00993AEC" w:rsidP="00993AEC">
            <w:pPr>
              <w:pStyle w:val="TableParagraph"/>
              <w:numPr>
                <w:ilvl w:val="0"/>
                <w:numId w:val="12"/>
              </w:numPr>
              <w:ind w:left="435" w:hanging="43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待產前，配合學生學習狀況，彈性調整學習方式。</w:t>
            </w:r>
          </w:p>
          <w:p w:rsidR="00993AEC" w:rsidRPr="00BE34F0" w:rsidRDefault="00993AEC" w:rsidP="00993AEC">
            <w:pPr>
              <w:pStyle w:val="TableParagraph"/>
              <w:numPr>
                <w:ilvl w:val="0"/>
                <w:numId w:val="12"/>
              </w:numPr>
              <w:ind w:left="435" w:hanging="43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待產中或坐月子期間，讓學生好好休息及調養身體。</w:t>
            </w:r>
          </w:p>
          <w:p w:rsidR="00993AEC" w:rsidRPr="00BE34F0" w:rsidRDefault="00993AEC" w:rsidP="00993AEC">
            <w:pPr>
              <w:pStyle w:val="TableParagraph"/>
              <w:numPr>
                <w:ilvl w:val="0"/>
                <w:numId w:val="12"/>
              </w:numPr>
              <w:ind w:left="435" w:hanging="43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產後回到學校，提供適合學生的學習方式，必要時提供課業補救措施，以拉回期間落差之學習。</w:t>
            </w:r>
          </w:p>
          <w:p w:rsidR="00993AEC" w:rsidRPr="00BE34F0" w:rsidRDefault="00993AEC" w:rsidP="00993AEC">
            <w:pPr>
              <w:pStyle w:val="TableParagraph"/>
              <w:numPr>
                <w:ilvl w:val="0"/>
                <w:numId w:val="12"/>
              </w:numPr>
              <w:ind w:left="435" w:hanging="43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該學期學習成績，召開會議後給予彈性調整。</w:t>
            </w:r>
          </w:p>
        </w:tc>
      </w:tr>
      <w:tr w:rsidR="00993AEC" w:rsidRPr="003F314E" w:rsidTr="00993AEC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78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學務處</w:t>
            </w:r>
          </w:p>
        </w:tc>
        <w:tc>
          <w:tcPr>
            <w:tcW w:w="643" w:type="pct"/>
            <w:vAlign w:val="center"/>
          </w:tcPr>
          <w:p w:rsidR="00993AEC" w:rsidRPr="007B52E8" w:rsidRDefault="00993AEC" w:rsidP="007B52E8">
            <w:pPr>
              <w:pStyle w:val="TableParagraph"/>
              <w:spacing w:before="196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7B52E8">
              <w:rPr>
                <w:rFonts w:ascii="標楷體" w:eastAsia="標楷體" w:hAnsi="標楷體"/>
                <w:sz w:val="28"/>
              </w:rPr>
              <w:t>生輔組長</w:t>
            </w:r>
          </w:p>
        </w:tc>
        <w:tc>
          <w:tcPr>
            <w:tcW w:w="3568" w:type="pct"/>
            <w:vAlign w:val="center"/>
          </w:tcPr>
          <w:p w:rsidR="00993AEC" w:rsidRPr="007B52E8" w:rsidRDefault="00993AEC" w:rsidP="00993AEC">
            <w:pPr>
              <w:pStyle w:val="TableParagraph"/>
              <w:numPr>
                <w:ilvl w:val="0"/>
                <w:numId w:val="13"/>
              </w:numPr>
              <w:ind w:left="402" w:hanging="40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B52E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彈性處理學生出缺勤紀錄，以「特殊事件」方式處理。</w:t>
            </w:r>
            <w:r w:rsidRPr="007B52E8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:rsidR="00993AEC" w:rsidRPr="007B52E8" w:rsidRDefault="003A1574" w:rsidP="00993AEC">
            <w:pPr>
              <w:pStyle w:val="TableParagraph"/>
              <w:numPr>
                <w:ilvl w:val="0"/>
                <w:numId w:val="13"/>
              </w:numPr>
              <w:ind w:left="402" w:hanging="40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配合輔導人員，協助懷孕或</w:t>
            </w:r>
            <w:r w:rsidR="00993AEC" w:rsidRPr="007B52E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育有子女之學生及其家庭運用校內外資源。</w:t>
            </w:r>
          </w:p>
        </w:tc>
      </w:tr>
      <w:tr w:rsidR="00993AEC" w:rsidRPr="003F314E" w:rsidTr="00993AEC">
        <w:trPr>
          <w:trHeight w:val="638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78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總務處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97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庶務組</w:t>
            </w:r>
          </w:p>
        </w:tc>
        <w:tc>
          <w:tcPr>
            <w:tcW w:w="3568" w:type="pct"/>
          </w:tcPr>
          <w:p w:rsidR="00993AEC" w:rsidRPr="00BE34F0" w:rsidRDefault="00993AEC" w:rsidP="00993AEC">
            <w:pPr>
              <w:pStyle w:val="TableParagraph"/>
              <w:ind w:left="466" w:hanging="466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視學生之需求，提供適用學生無障礙學習環境，規劃下列設施：</w:t>
            </w:r>
          </w:p>
          <w:p w:rsidR="00993AEC" w:rsidRPr="00BE34F0" w:rsidRDefault="00993AEC" w:rsidP="00993AEC">
            <w:pPr>
              <w:tabs>
                <w:tab w:val="left" w:pos="2475"/>
              </w:tabs>
              <w:spacing w:before="47"/>
              <w:ind w:left="358" w:hangingChars="153" w:hanging="35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(1)配合教務處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教室安排、課桌椅調整</w:t>
            </w: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(或增購)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、停車設施</w:t>
            </w: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(檢討無障礙停車位設置或調整專用車格)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、如廁地點</w:t>
            </w: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設施檢視(無障礙扶手建置及求救設施)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等。</w:t>
            </w:r>
          </w:p>
          <w:p w:rsidR="00993AEC" w:rsidRPr="00BE34F0" w:rsidRDefault="00993AEC" w:rsidP="00993AEC">
            <w:pPr>
              <w:tabs>
                <w:tab w:val="left" w:pos="2475"/>
              </w:tabs>
              <w:spacing w:before="69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(2)協助辦理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健康中心設備器材之增購等</w:t>
            </w: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採購事宜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。</w:t>
            </w:r>
          </w:p>
          <w:p w:rsidR="00993AEC" w:rsidRPr="00BE34F0" w:rsidRDefault="00993AEC" w:rsidP="00993AEC">
            <w:pPr>
              <w:pStyle w:val="TableParagraph"/>
              <w:ind w:left="473" w:hanging="47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34F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(3)</w:t>
            </w: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協助辦理健康中心</w:t>
            </w:r>
            <w:r w:rsidRPr="00BE34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母乳哺</w:t>
            </w:r>
            <w:r w:rsidRPr="00BE34F0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BE34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集）</w:t>
            </w:r>
            <w:r w:rsidRPr="00BE34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之相關設施</w:t>
            </w:r>
            <w:r w:rsidRPr="00BE34F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之</w:t>
            </w:r>
            <w:r w:rsidRPr="00BE34F0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採購</w:t>
            </w:r>
            <w:r w:rsidRPr="00BE34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。</w:t>
            </w:r>
          </w:p>
        </w:tc>
      </w:tr>
      <w:tr w:rsidR="00993AEC" w:rsidRPr="003F314E" w:rsidTr="00993AEC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80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實習處</w:t>
            </w:r>
          </w:p>
        </w:tc>
        <w:tc>
          <w:tcPr>
            <w:tcW w:w="643" w:type="pct"/>
            <w:vAlign w:val="center"/>
          </w:tcPr>
          <w:p w:rsidR="00993AEC" w:rsidRPr="001927FA" w:rsidRDefault="00993AEC" w:rsidP="00993AEC">
            <w:pPr>
              <w:pStyle w:val="TableParagraph"/>
              <w:spacing w:before="199" w:line="276" w:lineRule="auto"/>
              <w:ind w:left="466" w:hanging="466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 w:rsidRPr="001927FA">
              <w:rPr>
                <w:rFonts w:ascii="標楷體" w:eastAsia="標楷體" w:hAnsi="標楷體" w:hint="eastAsia"/>
                <w:spacing w:val="-3"/>
                <w:sz w:val="28"/>
              </w:rPr>
              <w:t>實習組</w:t>
            </w:r>
          </w:p>
        </w:tc>
        <w:tc>
          <w:tcPr>
            <w:tcW w:w="3568" w:type="pct"/>
          </w:tcPr>
          <w:p w:rsidR="00993AEC" w:rsidRPr="00BE34F0" w:rsidRDefault="00993AEC" w:rsidP="00993AEC">
            <w:pPr>
              <w:pStyle w:val="Default"/>
              <w:rPr>
                <w:rFonts w:hAnsi="標楷體" w:cs="cwTeXHeiBold"/>
                <w:color w:val="auto"/>
                <w:spacing w:val="-3"/>
                <w:sz w:val="24"/>
                <w:lang w:eastAsia="zh-TW"/>
              </w:rPr>
            </w:pPr>
            <w:r w:rsidRPr="00BE34F0">
              <w:rPr>
                <w:rFonts w:hAnsi="標楷體" w:cs="cwTeXHeiBold" w:hint="eastAsia"/>
                <w:color w:val="auto"/>
                <w:spacing w:val="-3"/>
                <w:sz w:val="24"/>
                <w:lang w:eastAsia="zh-TW"/>
              </w:rPr>
              <w:t>(1)彈性處理學生實習課程上課方式。</w:t>
            </w:r>
          </w:p>
          <w:p w:rsidR="00993AEC" w:rsidRPr="00BE34F0" w:rsidRDefault="00993AEC" w:rsidP="00993AEC">
            <w:pPr>
              <w:pStyle w:val="Default"/>
              <w:rPr>
                <w:rFonts w:hAnsi="標楷體" w:cs="cwTeXHeiBold"/>
                <w:color w:val="auto"/>
                <w:spacing w:val="-3"/>
                <w:sz w:val="24"/>
                <w:lang w:eastAsia="zh-TW"/>
              </w:rPr>
            </w:pPr>
            <w:r w:rsidRPr="00BE34F0">
              <w:rPr>
                <w:rFonts w:hAnsi="標楷體" w:hint="eastAsia"/>
                <w:spacing w:val="-3"/>
                <w:sz w:val="24"/>
                <w:lang w:eastAsia="zh-TW"/>
              </w:rPr>
              <w:t>(2)</w:t>
            </w:r>
            <w:r w:rsidRPr="00BE34F0">
              <w:rPr>
                <w:rFonts w:hAnsi="標楷體" w:cs="cwTeXHeiBold" w:hint="eastAsia"/>
                <w:color w:val="auto"/>
                <w:spacing w:val="-3"/>
                <w:sz w:val="24"/>
                <w:lang w:eastAsia="zh-TW"/>
              </w:rPr>
              <w:t>安排合乎需要之實習環境。</w:t>
            </w:r>
          </w:p>
          <w:p w:rsidR="00993AEC" w:rsidRPr="00BE34F0" w:rsidRDefault="00993AEC" w:rsidP="00993AEC">
            <w:pPr>
              <w:pStyle w:val="Default"/>
              <w:rPr>
                <w:rFonts w:hAnsi="標楷體" w:cs="cwTeXHeiBold"/>
                <w:color w:val="auto"/>
                <w:spacing w:val="-3"/>
                <w:sz w:val="24"/>
                <w:lang w:eastAsia="zh-TW"/>
              </w:rPr>
            </w:pPr>
            <w:r w:rsidRPr="00BE34F0">
              <w:rPr>
                <w:rFonts w:hAnsi="標楷體" w:cs="cwTeXHeiBold" w:hint="eastAsia"/>
                <w:color w:val="auto"/>
                <w:spacing w:val="-3"/>
                <w:sz w:val="24"/>
                <w:lang w:eastAsia="zh-TW"/>
              </w:rPr>
              <w:t>(3)實習課程機具設備操作安全性評估。</w:t>
            </w:r>
          </w:p>
        </w:tc>
      </w:tr>
      <w:tr w:rsidR="00993AEC" w:rsidRPr="003F314E" w:rsidTr="00993AEC">
        <w:trPr>
          <w:trHeight w:val="640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993AEC" w:rsidRPr="00993AEC" w:rsidRDefault="00993AEC" w:rsidP="00993AEC">
            <w:pPr>
              <w:pStyle w:val="TableParagraph"/>
              <w:spacing w:before="89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輔導單位</w:t>
            </w:r>
          </w:p>
        </w:tc>
      </w:tr>
      <w:tr w:rsidR="00993AEC" w:rsidRPr="003F314E" w:rsidTr="00993AEC">
        <w:trPr>
          <w:trHeight w:val="6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:rsidR="00993AEC" w:rsidRPr="003F314E" w:rsidRDefault="00993AEC" w:rsidP="00993AEC">
            <w:pPr>
              <w:pStyle w:val="TableParagraph"/>
              <w:spacing w:before="89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993AEC" w:rsidRPr="003F314E" w:rsidRDefault="00993AEC" w:rsidP="00993AEC">
            <w:pPr>
              <w:pStyle w:val="TableParagraph"/>
              <w:spacing w:before="89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人員</w:t>
            </w:r>
          </w:p>
        </w:tc>
        <w:tc>
          <w:tcPr>
            <w:tcW w:w="3568" w:type="pct"/>
            <w:shd w:val="clear" w:color="auto" w:fill="D9D9D9" w:themeFill="background1" w:themeFillShade="D9"/>
            <w:vAlign w:val="center"/>
          </w:tcPr>
          <w:p w:rsidR="00993AEC" w:rsidRPr="003F314E" w:rsidRDefault="00993AEC" w:rsidP="00993AEC">
            <w:pPr>
              <w:pStyle w:val="TableParagraph"/>
              <w:spacing w:before="89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負責項目</w:t>
            </w:r>
          </w:p>
        </w:tc>
      </w:tr>
      <w:tr w:rsidR="00993AEC" w:rsidRPr="003F314E" w:rsidTr="00ED5ADF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80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 w:hint="eastAsia"/>
                <w:sz w:val="28"/>
              </w:rPr>
              <w:t>輔導</w:t>
            </w:r>
            <w:r w:rsidRPr="003F314E">
              <w:rPr>
                <w:rFonts w:ascii="標楷體" w:eastAsia="標楷體" w:hAnsi="標楷體"/>
                <w:sz w:val="28"/>
              </w:rPr>
              <w:t>主任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199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3568" w:type="pct"/>
            <w:vAlign w:val="center"/>
          </w:tcPr>
          <w:p w:rsidR="00993AEC" w:rsidRPr="003F314E" w:rsidRDefault="00993AEC" w:rsidP="00993AEC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67" w:hanging="36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召開個案會議擬定輔導計畫，並適時修正</w:t>
            </w:r>
            <w:r w:rsidRPr="003F31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67" w:hanging="36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遴選合適之個案管理者，並依學生需要妥善分工。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67" w:hanging="36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運用社會資源，協助懷孕學生相關需求。 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367" w:hanging="36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提供懷孕學生家庭諮詢與支持。</w:t>
            </w:r>
          </w:p>
        </w:tc>
      </w:tr>
      <w:tr w:rsidR="00993AEC" w:rsidRPr="003F314E" w:rsidTr="00ED5ADF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21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 w:hint="eastAsia"/>
                <w:sz w:val="28"/>
              </w:rPr>
              <w:t>校護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3568" w:type="pct"/>
            <w:vAlign w:val="center"/>
          </w:tcPr>
          <w:p w:rsidR="00993AEC" w:rsidRPr="003F314E" w:rsidRDefault="00993AEC" w:rsidP="00993AEC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協調提供孕程保健諮詢、嬰幼兒保育諮詢等衛生醫療協助。</w:t>
            </w:r>
          </w:p>
        </w:tc>
      </w:tr>
      <w:tr w:rsidR="00993AEC" w:rsidRPr="003F314E" w:rsidTr="00ED5ADF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21"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輔導</w:t>
            </w:r>
            <w:r w:rsidRPr="003F314E">
              <w:rPr>
                <w:rFonts w:ascii="標楷體" w:eastAsia="標楷體" w:hAnsi="標楷體" w:hint="eastAsia"/>
                <w:sz w:val="28"/>
              </w:rPr>
              <w:t>教師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3568" w:type="pct"/>
            <w:vAlign w:val="center"/>
          </w:tcPr>
          <w:p w:rsidR="00993AEC" w:rsidRPr="003F314E" w:rsidRDefault="00993AEC" w:rsidP="00993AEC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提供懷孕學生個別輔導與諮商。 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建立懷孕事件個案輔導紀錄，並依專業倫理尊重隱私權，妥適保存及管理資料。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</w:rPr>
              <w:lastRenderedPageBreak/>
              <w:t>提供班級團體輔導。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提供懷孕學生生涯規劃輔導。</w:t>
            </w:r>
          </w:p>
        </w:tc>
      </w:tr>
      <w:tr w:rsidR="00993AEC" w:rsidRPr="003F314E" w:rsidTr="00ED5ADF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line="276" w:lineRule="auto"/>
              <w:ind w:left="401" w:hanging="401"/>
              <w:jc w:val="center"/>
              <w:rPr>
                <w:rFonts w:ascii="標楷體" w:eastAsia="標楷體" w:hAnsi="標楷體"/>
                <w:sz w:val="26"/>
              </w:rPr>
            </w:pPr>
            <w:r w:rsidRPr="003F314E">
              <w:rPr>
                <w:rFonts w:ascii="標楷體" w:eastAsia="標楷體" w:hAnsi="標楷體" w:hint="eastAsia"/>
                <w:sz w:val="26"/>
              </w:rPr>
              <w:lastRenderedPageBreak/>
              <w:t>導師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3568" w:type="pct"/>
            <w:vAlign w:val="center"/>
          </w:tcPr>
          <w:p w:rsidR="00993AEC" w:rsidRPr="003F314E" w:rsidRDefault="00993AEC" w:rsidP="00993AEC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提供多元適性教育之實施方案，協助學生完成學業，維護受教權。 </w:t>
            </w:r>
          </w:p>
          <w:p w:rsidR="00993AEC" w:rsidRPr="003F314E" w:rsidRDefault="00993AEC" w:rsidP="00993AEC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F314E">
              <w:rPr>
                <w:rFonts w:ascii="標楷體" w:eastAsia="標楷體" w:hAnsi="標楷體"/>
                <w:sz w:val="24"/>
                <w:szCs w:val="24"/>
                <w:lang w:eastAsia="zh-TW"/>
              </w:rPr>
              <w:t>協同輔導教師進行班級輔導，協助學生心理及生理適應。</w:t>
            </w:r>
          </w:p>
        </w:tc>
      </w:tr>
      <w:tr w:rsidR="00993AEC" w:rsidRPr="003F314E" w:rsidTr="00ED5ADF">
        <w:trPr>
          <w:trHeight w:val="640"/>
        </w:trPr>
        <w:tc>
          <w:tcPr>
            <w:tcW w:w="789" w:type="pct"/>
            <w:vAlign w:val="center"/>
          </w:tcPr>
          <w:p w:rsidR="00993AEC" w:rsidRPr="003F314E" w:rsidRDefault="00993AEC" w:rsidP="00993AEC">
            <w:pPr>
              <w:pStyle w:val="TableParagraph"/>
              <w:spacing w:before="21" w:line="0" w:lineRule="atLeast"/>
              <w:ind w:left="-11" w:firstLine="1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3F314E">
              <w:rPr>
                <w:rFonts w:ascii="標楷體" w:eastAsia="標楷體" w:hAnsi="標楷體"/>
                <w:spacing w:val="-4"/>
                <w:sz w:val="28"/>
                <w:lang w:eastAsia="zh-TW"/>
              </w:rPr>
              <w:t>性別平等教育委員會委員</w:t>
            </w:r>
          </w:p>
        </w:tc>
        <w:tc>
          <w:tcPr>
            <w:tcW w:w="643" w:type="pct"/>
            <w:vAlign w:val="center"/>
          </w:tcPr>
          <w:p w:rsidR="00993AEC" w:rsidRPr="003F314E" w:rsidRDefault="00993AEC" w:rsidP="00993AEC">
            <w:pPr>
              <w:pStyle w:val="TableParagraph"/>
              <w:spacing w:line="276" w:lineRule="auto"/>
              <w:ind w:left="435" w:hanging="435"/>
              <w:jc w:val="center"/>
              <w:rPr>
                <w:rFonts w:ascii="標楷體" w:eastAsia="標楷體" w:hAnsi="標楷體"/>
                <w:sz w:val="28"/>
              </w:rPr>
            </w:pPr>
            <w:r w:rsidRPr="003F314E">
              <w:rPr>
                <w:rFonts w:ascii="標楷體" w:eastAsia="標楷體" w:hAnsi="標楷體"/>
                <w:sz w:val="28"/>
              </w:rPr>
              <w:t>○○○</w:t>
            </w:r>
          </w:p>
        </w:tc>
        <w:tc>
          <w:tcPr>
            <w:tcW w:w="3568" w:type="pct"/>
            <w:vAlign w:val="center"/>
          </w:tcPr>
          <w:p w:rsidR="00993AEC" w:rsidRPr="00E63560" w:rsidRDefault="00993AEC" w:rsidP="00993AEC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367" w:hanging="36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提供專業資訊並協助檢視相關流程。</w:t>
            </w:r>
          </w:p>
        </w:tc>
      </w:tr>
    </w:tbl>
    <w:p w:rsidR="00D77452" w:rsidRPr="00CB10D9" w:rsidRDefault="001E12EC" w:rsidP="00CB10D9">
      <w:pPr>
        <w:widowControl/>
        <w:rPr>
          <w:rFonts w:ascii="標楷體" w:eastAsia="標楷體" w:hAnsi="標楷體" w:hint="eastAsia"/>
          <w:b/>
          <w:spacing w:val="-12"/>
          <w:sz w:val="28"/>
          <w:szCs w:val="24"/>
        </w:rPr>
      </w:pPr>
      <w:bookmarkStart w:id="3" w:name="_GoBack"/>
      <w:bookmarkEnd w:id="0"/>
      <w:bookmarkEnd w:id="1"/>
      <w:bookmarkEnd w:id="2"/>
      <w:bookmarkEnd w:id="3"/>
    </w:p>
    <w:sectPr w:rsidR="00D77452" w:rsidRPr="00CB10D9" w:rsidSect="00FF08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EC" w:rsidRDefault="001E12EC" w:rsidP="00C64808">
      <w:r>
        <w:separator/>
      </w:r>
    </w:p>
  </w:endnote>
  <w:endnote w:type="continuationSeparator" w:id="0">
    <w:p w:rsidR="001E12EC" w:rsidRDefault="001E12EC" w:rsidP="00C6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wTeXHeiBold">
    <w:altName w:val="MS Gothic"/>
    <w:charset w:val="00"/>
    <w:family w:val="modern"/>
    <w:pitch w:val="fixed"/>
  </w:font>
  <w:font w:name="Noto Sans CJK JP Black">
    <w:altName w:val="Arial"/>
    <w:charset w:val="00"/>
    <w:family w:val="swiss"/>
    <w:pitch w:val="variable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EC" w:rsidRDefault="001E12EC" w:rsidP="00C64808">
      <w:r>
        <w:separator/>
      </w:r>
    </w:p>
  </w:footnote>
  <w:footnote w:type="continuationSeparator" w:id="0">
    <w:p w:rsidR="001E12EC" w:rsidRDefault="001E12EC" w:rsidP="00C6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824"/>
    <w:multiLevelType w:val="hybridMultilevel"/>
    <w:tmpl w:val="B6AE9FA0"/>
    <w:lvl w:ilvl="0" w:tplc="6D5E4FF4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02CBFDA">
      <w:start w:val="1"/>
      <w:numFmt w:val="decimal"/>
      <w:lvlText w:val="(%2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BF363662">
      <w:numFmt w:val="bullet"/>
      <w:lvlText w:val="•"/>
      <w:lvlJc w:val="left"/>
      <w:pPr>
        <w:ind w:left="3445" w:hanging="425"/>
      </w:pPr>
      <w:rPr>
        <w:rFonts w:hint="default"/>
        <w:lang w:val="en-US" w:eastAsia="zh-TW" w:bidi="ar-SA"/>
      </w:rPr>
    </w:lvl>
    <w:lvl w:ilvl="3" w:tplc="DBAAA4E8">
      <w:numFmt w:val="bullet"/>
      <w:lvlText w:val="•"/>
      <w:lvlJc w:val="left"/>
      <w:pPr>
        <w:ind w:left="4410" w:hanging="425"/>
      </w:pPr>
      <w:rPr>
        <w:rFonts w:hint="default"/>
        <w:lang w:val="en-US" w:eastAsia="zh-TW" w:bidi="ar-SA"/>
      </w:rPr>
    </w:lvl>
    <w:lvl w:ilvl="4" w:tplc="C4EC0F98">
      <w:numFmt w:val="bullet"/>
      <w:lvlText w:val="•"/>
      <w:lvlJc w:val="left"/>
      <w:pPr>
        <w:ind w:left="5375" w:hanging="425"/>
      </w:pPr>
      <w:rPr>
        <w:rFonts w:hint="default"/>
        <w:lang w:val="en-US" w:eastAsia="zh-TW" w:bidi="ar-SA"/>
      </w:rPr>
    </w:lvl>
    <w:lvl w:ilvl="5" w:tplc="AFA039E2">
      <w:numFmt w:val="bullet"/>
      <w:lvlText w:val="•"/>
      <w:lvlJc w:val="left"/>
      <w:pPr>
        <w:ind w:left="6340" w:hanging="425"/>
      </w:pPr>
      <w:rPr>
        <w:rFonts w:hint="default"/>
        <w:lang w:val="en-US" w:eastAsia="zh-TW" w:bidi="ar-SA"/>
      </w:rPr>
    </w:lvl>
    <w:lvl w:ilvl="6" w:tplc="125A83CA">
      <w:numFmt w:val="bullet"/>
      <w:lvlText w:val="•"/>
      <w:lvlJc w:val="left"/>
      <w:pPr>
        <w:ind w:left="7305" w:hanging="425"/>
      </w:pPr>
      <w:rPr>
        <w:rFonts w:hint="default"/>
        <w:lang w:val="en-US" w:eastAsia="zh-TW" w:bidi="ar-SA"/>
      </w:rPr>
    </w:lvl>
    <w:lvl w:ilvl="7" w:tplc="60DC4FA2">
      <w:numFmt w:val="bullet"/>
      <w:lvlText w:val="•"/>
      <w:lvlJc w:val="left"/>
      <w:pPr>
        <w:ind w:left="8270" w:hanging="425"/>
      </w:pPr>
      <w:rPr>
        <w:rFonts w:hint="default"/>
        <w:lang w:val="en-US" w:eastAsia="zh-TW" w:bidi="ar-SA"/>
      </w:rPr>
    </w:lvl>
    <w:lvl w:ilvl="8" w:tplc="8C263760">
      <w:numFmt w:val="bullet"/>
      <w:lvlText w:val="•"/>
      <w:lvlJc w:val="left"/>
      <w:pPr>
        <w:ind w:left="9236" w:hanging="425"/>
      </w:pPr>
      <w:rPr>
        <w:rFonts w:hint="default"/>
        <w:lang w:val="en-US" w:eastAsia="zh-TW" w:bidi="ar-SA"/>
      </w:rPr>
    </w:lvl>
  </w:abstractNum>
  <w:abstractNum w:abstractNumId="1" w15:restartNumberingAfterBreak="0">
    <w:nsid w:val="06BB6D0E"/>
    <w:multiLevelType w:val="hybridMultilevel"/>
    <w:tmpl w:val="0DA273C4"/>
    <w:lvl w:ilvl="0" w:tplc="C01C8B70">
      <w:start w:val="1"/>
      <w:numFmt w:val="decimal"/>
      <w:lvlText w:val="%1."/>
      <w:lvlJc w:val="left"/>
      <w:pPr>
        <w:ind w:left="348" w:hanging="241"/>
      </w:pPr>
      <w:rPr>
        <w:rFonts w:ascii="cwTeXHeiBold" w:eastAsia="cwTeXHeiBold" w:hAnsi="cwTeXHeiBold" w:cs="cwTeXHeiBold" w:hint="default"/>
        <w:w w:val="128"/>
        <w:sz w:val="22"/>
        <w:szCs w:val="22"/>
        <w:lang w:val="en-US" w:eastAsia="zh-TW" w:bidi="ar-SA"/>
      </w:rPr>
    </w:lvl>
    <w:lvl w:ilvl="1" w:tplc="EA7A0F0E">
      <w:numFmt w:val="bullet"/>
      <w:lvlText w:val="•"/>
      <w:lvlJc w:val="left"/>
      <w:pPr>
        <w:ind w:left="1304" w:hanging="241"/>
      </w:pPr>
      <w:rPr>
        <w:rFonts w:hint="default"/>
        <w:lang w:val="en-US" w:eastAsia="zh-TW" w:bidi="ar-SA"/>
      </w:rPr>
    </w:lvl>
    <w:lvl w:ilvl="2" w:tplc="FA5E8608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3" w:tplc="488EF28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4" w:tplc="BDB45D96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5" w:tplc="AC468904">
      <w:numFmt w:val="bullet"/>
      <w:lvlText w:val="•"/>
      <w:lvlJc w:val="left"/>
      <w:pPr>
        <w:ind w:left="5161" w:hanging="241"/>
      </w:pPr>
      <w:rPr>
        <w:rFonts w:hint="default"/>
        <w:lang w:val="en-US" w:eastAsia="zh-TW" w:bidi="ar-SA"/>
      </w:rPr>
    </w:lvl>
    <w:lvl w:ilvl="6" w:tplc="0346D008">
      <w:numFmt w:val="bullet"/>
      <w:lvlText w:val="•"/>
      <w:lvlJc w:val="left"/>
      <w:pPr>
        <w:ind w:left="6125" w:hanging="241"/>
      </w:pPr>
      <w:rPr>
        <w:rFonts w:hint="default"/>
        <w:lang w:val="en-US" w:eastAsia="zh-TW" w:bidi="ar-SA"/>
      </w:rPr>
    </w:lvl>
    <w:lvl w:ilvl="7" w:tplc="83BE7750">
      <w:numFmt w:val="bullet"/>
      <w:lvlText w:val="•"/>
      <w:lvlJc w:val="left"/>
      <w:pPr>
        <w:ind w:left="7090" w:hanging="241"/>
      </w:pPr>
      <w:rPr>
        <w:rFonts w:hint="default"/>
        <w:lang w:val="en-US" w:eastAsia="zh-TW" w:bidi="ar-SA"/>
      </w:rPr>
    </w:lvl>
    <w:lvl w:ilvl="8" w:tplc="CA500BF2">
      <w:numFmt w:val="bullet"/>
      <w:lvlText w:val="•"/>
      <w:lvlJc w:val="left"/>
      <w:pPr>
        <w:ind w:left="8054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B417268"/>
    <w:multiLevelType w:val="hybridMultilevel"/>
    <w:tmpl w:val="0D8AA40E"/>
    <w:lvl w:ilvl="0" w:tplc="9A2C1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A1DCB"/>
    <w:multiLevelType w:val="hybridMultilevel"/>
    <w:tmpl w:val="536E3B50"/>
    <w:lvl w:ilvl="0" w:tplc="E906100C">
      <w:numFmt w:val="bullet"/>
      <w:lvlText w:val="□"/>
      <w:lvlJc w:val="left"/>
      <w:pPr>
        <w:ind w:left="467" w:hanging="360"/>
      </w:pPr>
      <w:rPr>
        <w:rFonts w:ascii="Noto Sans CJK JP Black" w:eastAsia="Noto Sans CJK JP Black" w:hAnsi="Noto Sans CJK JP Black" w:cs="Noto Sans CJK JP Black" w:hint="default"/>
        <w:w w:val="100"/>
        <w:sz w:val="28"/>
        <w:szCs w:val="28"/>
        <w:lang w:val="en-US" w:eastAsia="zh-TW" w:bidi="ar-SA"/>
      </w:rPr>
    </w:lvl>
    <w:lvl w:ilvl="1" w:tplc="EA80D6C6">
      <w:numFmt w:val="bullet"/>
      <w:lvlText w:val="•"/>
      <w:lvlJc w:val="left"/>
      <w:pPr>
        <w:ind w:left="779" w:hanging="360"/>
      </w:pPr>
      <w:rPr>
        <w:rFonts w:hint="default"/>
        <w:lang w:val="en-US" w:eastAsia="zh-TW" w:bidi="ar-SA"/>
      </w:rPr>
    </w:lvl>
    <w:lvl w:ilvl="2" w:tplc="FC3AD8B6">
      <w:numFmt w:val="bullet"/>
      <w:lvlText w:val="•"/>
      <w:lvlJc w:val="left"/>
      <w:pPr>
        <w:ind w:left="1098" w:hanging="360"/>
      </w:pPr>
      <w:rPr>
        <w:rFonts w:hint="default"/>
        <w:lang w:val="en-US" w:eastAsia="zh-TW" w:bidi="ar-SA"/>
      </w:rPr>
    </w:lvl>
    <w:lvl w:ilvl="3" w:tplc="5C6AAB94">
      <w:numFmt w:val="bullet"/>
      <w:lvlText w:val="•"/>
      <w:lvlJc w:val="left"/>
      <w:pPr>
        <w:ind w:left="1417" w:hanging="360"/>
      </w:pPr>
      <w:rPr>
        <w:rFonts w:hint="default"/>
        <w:lang w:val="en-US" w:eastAsia="zh-TW" w:bidi="ar-SA"/>
      </w:rPr>
    </w:lvl>
    <w:lvl w:ilvl="4" w:tplc="007273A8">
      <w:numFmt w:val="bullet"/>
      <w:lvlText w:val="•"/>
      <w:lvlJc w:val="left"/>
      <w:pPr>
        <w:ind w:left="1736" w:hanging="360"/>
      </w:pPr>
      <w:rPr>
        <w:rFonts w:hint="default"/>
        <w:lang w:val="en-US" w:eastAsia="zh-TW" w:bidi="ar-SA"/>
      </w:rPr>
    </w:lvl>
    <w:lvl w:ilvl="5" w:tplc="5EC4092A">
      <w:numFmt w:val="bullet"/>
      <w:lvlText w:val="•"/>
      <w:lvlJc w:val="left"/>
      <w:pPr>
        <w:ind w:left="2055" w:hanging="360"/>
      </w:pPr>
      <w:rPr>
        <w:rFonts w:hint="default"/>
        <w:lang w:val="en-US" w:eastAsia="zh-TW" w:bidi="ar-SA"/>
      </w:rPr>
    </w:lvl>
    <w:lvl w:ilvl="6" w:tplc="DA7681B2">
      <w:numFmt w:val="bullet"/>
      <w:lvlText w:val="•"/>
      <w:lvlJc w:val="left"/>
      <w:pPr>
        <w:ind w:left="2374" w:hanging="360"/>
      </w:pPr>
      <w:rPr>
        <w:rFonts w:hint="default"/>
        <w:lang w:val="en-US" w:eastAsia="zh-TW" w:bidi="ar-SA"/>
      </w:rPr>
    </w:lvl>
    <w:lvl w:ilvl="7" w:tplc="27682D52">
      <w:numFmt w:val="bullet"/>
      <w:lvlText w:val="•"/>
      <w:lvlJc w:val="left"/>
      <w:pPr>
        <w:ind w:left="2693" w:hanging="360"/>
      </w:pPr>
      <w:rPr>
        <w:rFonts w:hint="default"/>
        <w:lang w:val="en-US" w:eastAsia="zh-TW" w:bidi="ar-SA"/>
      </w:rPr>
    </w:lvl>
    <w:lvl w:ilvl="8" w:tplc="2C144E9A">
      <w:numFmt w:val="bullet"/>
      <w:lvlText w:val="•"/>
      <w:lvlJc w:val="left"/>
      <w:pPr>
        <w:ind w:left="3012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6CB0DDB"/>
    <w:multiLevelType w:val="hybridMultilevel"/>
    <w:tmpl w:val="66BCB16E"/>
    <w:lvl w:ilvl="0" w:tplc="79A8C2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F51F9F"/>
    <w:multiLevelType w:val="hybridMultilevel"/>
    <w:tmpl w:val="40B2463E"/>
    <w:lvl w:ilvl="0" w:tplc="3D4C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C72ABB"/>
    <w:multiLevelType w:val="hybridMultilevel"/>
    <w:tmpl w:val="4920CBCE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90D24"/>
    <w:multiLevelType w:val="hybridMultilevel"/>
    <w:tmpl w:val="B6AE9FA0"/>
    <w:lvl w:ilvl="0" w:tplc="6D5E4FF4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02CBFDA">
      <w:start w:val="1"/>
      <w:numFmt w:val="decimal"/>
      <w:lvlText w:val="(%2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BF363662">
      <w:numFmt w:val="bullet"/>
      <w:lvlText w:val="•"/>
      <w:lvlJc w:val="left"/>
      <w:pPr>
        <w:ind w:left="3445" w:hanging="425"/>
      </w:pPr>
      <w:rPr>
        <w:rFonts w:hint="default"/>
        <w:lang w:val="en-US" w:eastAsia="zh-TW" w:bidi="ar-SA"/>
      </w:rPr>
    </w:lvl>
    <w:lvl w:ilvl="3" w:tplc="DBAAA4E8">
      <w:numFmt w:val="bullet"/>
      <w:lvlText w:val="•"/>
      <w:lvlJc w:val="left"/>
      <w:pPr>
        <w:ind w:left="4410" w:hanging="425"/>
      </w:pPr>
      <w:rPr>
        <w:rFonts w:hint="default"/>
        <w:lang w:val="en-US" w:eastAsia="zh-TW" w:bidi="ar-SA"/>
      </w:rPr>
    </w:lvl>
    <w:lvl w:ilvl="4" w:tplc="C4EC0F98">
      <w:numFmt w:val="bullet"/>
      <w:lvlText w:val="•"/>
      <w:lvlJc w:val="left"/>
      <w:pPr>
        <w:ind w:left="5375" w:hanging="425"/>
      </w:pPr>
      <w:rPr>
        <w:rFonts w:hint="default"/>
        <w:lang w:val="en-US" w:eastAsia="zh-TW" w:bidi="ar-SA"/>
      </w:rPr>
    </w:lvl>
    <w:lvl w:ilvl="5" w:tplc="AFA039E2">
      <w:numFmt w:val="bullet"/>
      <w:lvlText w:val="•"/>
      <w:lvlJc w:val="left"/>
      <w:pPr>
        <w:ind w:left="6340" w:hanging="425"/>
      </w:pPr>
      <w:rPr>
        <w:rFonts w:hint="default"/>
        <w:lang w:val="en-US" w:eastAsia="zh-TW" w:bidi="ar-SA"/>
      </w:rPr>
    </w:lvl>
    <w:lvl w:ilvl="6" w:tplc="125A83CA">
      <w:numFmt w:val="bullet"/>
      <w:lvlText w:val="•"/>
      <w:lvlJc w:val="left"/>
      <w:pPr>
        <w:ind w:left="7305" w:hanging="425"/>
      </w:pPr>
      <w:rPr>
        <w:rFonts w:hint="default"/>
        <w:lang w:val="en-US" w:eastAsia="zh-TW" w:bidi="ar-SA"/>
      </w:rPr>
    </w:lvl>
    <w:lvl w:ilvl="7" w:tplc="60DC4FA2">
      <w:numFmt w:val="bullet"/>
      <w:lvlText w:val="•"/>
      <w:lvlJc w:val="left"/>
      <w:pPr>
        <w:ind w:left="8270" w:hanging="425"/>
      </w:pPr>
      <w:rPr>
        <w:rFonts w:hint="default"/>
        <w:lang w:val="en-US" w:eastAsia="zh-TW" w:bidi="ar-SA"/>
      </w:rPr>
    </w:lvl>
    <w:lvl w:ilvl="8" w:tplc="8C263760">
      <w:numFmt w:val="bullet"/>
      <w:lvlText w:val="•"/>
      <w:lvlJc w:val="left"/>
      <w:pPr>
        <w:ind w:left="9236" w:hanging="425"/>
      </w:pPr>
      <w:rPr>
        <w:rFonts w:hint="default"/>
        <w:lang w:val="en-US" w:eastAsia="zh-TW" w:bidi="ar-SA"/>
      </w:rPr>
    </w:lvl>
  </w:abstractNum>
  <w:abstractNum w:abstractNumId="8" w15:restartNumberingAfterBreak="0">
    <w:nsid w:val="34D4727C"/>
    <w:multiLevelType w:val="hybridMultilevel"/>
    <w:tmpl w:val="16BA2EB6"/>
    <w:lvl w:ilvl="0" w:tplc="A6F0D0AC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9" w15:restartNumberingAfterBreak="0">
    <w:nsid w:val="3D121769"/>
    <w:multiLevelType w:val="hybridMultilevel"/>
    <w:tmpl w:val="148CB030"/>
    <w:lvl w:ilvl="0" w:tplc="23840BCC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0B0A24"/>
    <w:multiLevelType w:val="hybridMultilevel"/>
    <w:tmpl w:val="918ACB1E"/>
    <w:lvl w:ilvl="0" w:tplc="D02CBFDA">
      <w:start w:val="1"/>
      <w:numFmt w:val="decimal"/>
      <w:lvlText w:val="(%1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E07C21"/>
    <w:multiLevelType w:val="hybridMultilevel"/>
    <w:tmpl w:val="AC04C010"/>
    <w:lvl w:ilvl="0" w:tplc="B4B287C8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5107F36">
      <w:start w:val="1"/>
      <w:numFmt w:val="decimal"/>
      <w:lvlText w:val="(%2)"/>
      <w:lvlJc w:val="left"/>
      <w:pPr>
        <w:ind w:left="2518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A3AECDAE">
      <w:numFmt w:val="bullet"/>
      <w:lvlText w:val="•"/>
      <w:lvlJc w:val="left"/>
      <w:pPr>
        <w:ind w:left="2520" w:hanging="476"/>
      </w:pPr>
      <w:rPr>
        <w:rFonts w:hint="default"/>
        <w:lang w:val="en-US" w:eastAsia="zh-TW" w:bidi="ar-SA"/>
      </w:rPr>
    </w:lvl>
    <w:lvl w:ilvl="3" w:tplc="2856F0D2">
      <w:numFmt w:val="bullet"/>
      <w:lvlText w:val="•"/>
      <w:lvlJc w:val="left"/>
      <w:pPr>
        <w:ind w:left="3600" w:hanging="476"/>
      </w:pPr>
      <w:rPr>
        <w:rFonts w:hint="default"/>
        <w:lang w:val="en-US" w:eastAsia="zh-TW" w:bidi="ar-SA"/>
      </w:rPr>
    </w:lvl>
    <w:lvl w:ilvl="4" w:tplc="723A89B2">
      <w:numFmt w:val="bullet"/>
      <w:lvlText w:val="•"/>
      <w:lvlJc w:val="left"/>
      <w:pPr>
        <w:ind w:left="4681" w:hanging="476"/>
      </w:pPr>
      <w:rPr>
        <w:rFonts w:hint="default"/>
        <w:lang w:val="en-US" w:eastAsia="zh-TW" w:bidi="ar-SA"/>
      </w:rPr>
    </w:lvl>
    <w:lvl w:ilvl="5" w:tplc="F1366B48">
      <w:numFmt w:val="bullet"/>
      <w:lvlText w:val="•"/>
      <w:lvlJc w:val="left"/>
      <w:pPr>
        <w:ind w:left="5762" w:hanging="476"/>
      </w:pPr>
      <w:rPr>
        <w:rFonts w:hint="default"/>
        <w:lang w:val="en-US" w:eastAsia="zh-TW" w:bidi="ar-SA"/>
      </w:rPr>
    </w:lvl>
    <w:lvl w:ilvl="6" w:tplc="4AF4D88A">
      <w:numFmt w:val="bullet"/>
      <w:lvlText w:val="•"/>
      <w:lvlJc w:val="left"/>
      <w:pPr>
        <w:ind w:left="6843" w:hanging="476"/>
      </w:pPr>
      <w:rPr>
        <w:rFonts w:hint="default"/>
        <w:lang w:val="en-US" w:eastAsia="zh-TW" w:bidi="ar-SA"/>
      </w:rPr>
    </w:lvl>
    <w:lvl w:ilvl="7" w:tplc="CADE1EB4">
      <w:numFmt w:val="bullet"/>
      <w:lvlText w:val="•"/>
      <w:lvlJc w:val="left"/>
      <w:pPr>
        <w:ind w:left="7924" w:hanging="476"/>
      </w:pPr>
      <w:rPr>
        <w:rFonts w:hint="default"/>
        <w:lang w:val="en-US" w:eastAsia="zh-TW" w:bidi="ar-SA"/>
      </w:rPr>
    </w:lvl>
    <w:lvl w:ilvl="8" w:tplc="539E2656">
      <w:numFmt w:val="bullet"/>
      <w:lvlText w:val="•"/>
      <w:lvlJc w:val="left"/>
      <w:pPr>
        <w:ind w:left="9004" w:hanging="476"/>
      </w:pPr>
      <w:rPr>
        <w:rFonts w:hint="default"/>
        <w:lang w:val="en-US" w:eastAsia="zh-TW" w:bidi="ar-SA"/>
      </w:rPr>
    </w:lvl>
  </w:abstractNum>
  <w:abstractNum w:abstractNumId="12" w15:restartNumberingAfterBreak="0">
    <w:nsid w:val="644569E4"/>
    <w:multiLevelType w:val="hybridMultilevel"/>
    <w:tmpl w:val="B60801EA"/>
    <w:lvl w:ilvl="0" w:tplc="A892899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7C07E33"/>
    <w:multiLevelType w:val="hybridMultilevel"/>
    <w:tmpl w:val="66BCB16E"/>
    <w:lvl w:ilvl="0" w:tplc="79A8C2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8445BA"/>
    <w:multiLevelType w:val="hybridMultilevel"/>
    <w:tmpl w:val="7276B9F8"/>
    <w:lvl w:ilvl="0" w:tplc="D02CBFDA">
      <w:start w:val="1"/>
      <w:numFmt w:val="decimal"/>
      <w:lvlText w:val="(%1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274610"/>
    <w:multiLevelType w:val="hybridMultilevel"/>
    <w:tmpl w:val="89DAEDB8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E179E8"/>
    <w:multiLevelType w:val="hybridMultilevel"/>
    <w:tmpl w:val="F786873A"/>
    <w:lvl w:ilvl="0" w:tplc="F9002050">
      <w:start w:val="9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9A218C"/>
    <w:multiLevelType w:val="hybridMultilevel"/>
    <w:tmpl w:val="B3820C1C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6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58"/>
    <w:rsid w:val="00073CC8"/>
    <w:rsid w:val="000B5298"/>
    <w:rsid w:val="000D35DC"/>
    <w:rsid w:val="000D7359"/>
    <w:rsid w:val="001626C5"/>
    <w:rsid w:val="001E12EC"/>
    <w:rsid w:val="001E656A"/>
    <w:rsid w:val="001F4E93"/>
    <w:rsid w:val="0026144C"/>
    <w:rsid w:val="003572DB"/>
    <w:rsid w:val="003A1574"/>
    <w:rsid w:val="003A55B5"/>
    <w:rsid w:val="0040071D"/>
    <w:rsid w:val="0055246E"/>
    <w:rsid w:val="005B3AF4"/>
    <w:rsid w:val="00621EAD"/>
    <w:rsid w:val="00680FBC"/>
    <w:rsid w:val="006D0845"/>
    <w:rsid w:val="006F5851"/>
    <w:rsid w:val="007B52E8"/>
    <w:rsid w:val="008005B0"/>
    <w:rsid w:val="00993AEC"/>
    <w:rsid w:val="00AA7258"/>
    <w:rsid w:val="00B011BC"/>
    <w:rsid w:val="00B028D6"/>
    <w:rsid w:val="00B800F0"/>
    <w:rsid w:val="00BA47D4"/>
    <w:rsid w:val="00BB1C89"/>
    <w:rsid w:val="00BE34F0"/>
    <w:rsid w:val="00C100E9"/>
    <w:rsid w:val="00C5542B"/>
    <w:rsid w:val="00C64808"/>
    <w:rsid w:val="00CB10D9"/>
    <w:rsid w:val="00D3548F"/>
    <w:rsid w:val="00E27CBD"/>
    <w:rsid w:val="00E71978"/>
    <w:rsid w:val="00EA01CA"/>
    <w:rsid w:val="00EE7FE2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A1B60"/>
  <w15:chartTrackingRefBased/>
  <w15:docId w15:val="{6380DE59-20E6-4BBB-B041-B32BF2A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5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字元"/>
    <w:basedOn w:val="2"/>
    <w:next w:val="a"/>
    <w:link w:val="11"/>
    <w:qFormat/>
    <w:rsid w:val="00FF0858"/>
    <w:pPr>
      <w:keepNext w:val="0"/>
      <w:kinsoku w:val="0"/>
      <w:snapToGrid w:val="0"/>
      <w:spacing w:beforeLines="10" w:before="24" w:afterLines="50" w:after="120" w:line="240" w:lineRule="auto"/>
      <w:ind w:leftChars="-19" w:left="2" w:rightChars="200" w:right="480" w:hangingChars="17" w:hanging="48"/>
      <w:jc w:val="center"/>
      <w:outlineLvl w:val="0"/>
    </w:pPr>
    <w:rPr>
      <w:rFonts w:ascii="華康中黑體" w:eastAsia="華康中黑體" w:hAnsi="標楷體" w:cs="Arial"/>
      <w:bCs w:val="0"/>
      <w:color w:val="0000FF"/>
      <w:spacing w:val="-10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8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"/>
    <w:rsid w:val="00FF08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ate-R">
    <w:name w:val="Date-R"/>
    <w:basedOn w:val="a"/>
    <w:link w:val="Date-R0"/>
    <w:rsid w:val="00FF0858"/>
    <w:pPr>
      <w:spacing w:line="0" w:lineRule="atLeast"/>
      <w:jc w:val="right"/>
    </w:pPr>
    <w:rPr>
      <w:rFonts w:ascii="新細明體"/>
      <w:color w:val="000000"/>
      <w:spacing w:val="-4"/>
      <w:w w:val="90"/>
      <w:sz w:val="20"/>
    </w:rPr>
  </w:style>
  <w:style w:type="character" w:customStyle="1" w:styleId="Date-R0">
    <w:name w:val="Date-R 字元"/>
    <w:link w:val="Date-R"/>
    <w:rsid w:val="00FF0858"/>
    <w:rPr>
      <w:rFonts w:ascii="新細明體" w:eastAsia="新細明體" w:hAnsi="Times New Roman" w:cs="Times New Roman"/>
      <w:color w:val="000000"/>
      <w:spacing w:val="-4"/>
      <w:w w:val="90"/>
      <w:sz w:val="20"/>
      <w:szCs w:val="20"/>
    </w:rPr>
  </w:style>
  <w:style w:type="paragraph" w:customStyle="1" w:styleId="a3">
    <w:name w:val="一"/>
    <w:basedOn w:val="a"/>
    <w:link w:val="a4"/>
    <w:rsid w:val="00FF0858"/>
    <w:pPr>
      <w:kinsoku w:val="0"/>
      <w:ind w:left="367" w:hangingChars="170" w:hanging="367"/>
      <w:jc w:val="both"/>
    </w:pPr>
    <w:rPr>
      <w:rFonts w:eastAsia="標楷體" w:hAnsi="Arial"/>
      <w:spacing w:val="-12"/>
      <w:szCs w:val="24"/>
    </w:rPr>
  </w:style>
  <w:style w:type="paragraph" w:customStyle="1" w:styleId="12">
    <w:name w:val="標1"/>
    <w:basedOn w:val="a"/>
    <w:link w:val="13"/>
    <w:rsid w:val="00FF0858"/>
    <w:pPr>
      <w:snapToGrid w:val="0"/>
      <w:jc w:val="center"/>
      <w:outlineLvl w:val="0"/>
    </w:pPr>
    <w:rPr>
      <w:rFonts w:ascii="華康中黑體" w:eastAsia="華康中黑體" w:hAnsi="標楷體" w:cs="Arial"/>
      <w:spacing w:val="-12"/>
      <w:sz w:val="30"/>
      <w:szCs w:val="30"/>
    </w:rPr>
  </w:style>
  <w:style w:type="character" w:customStyle="1" w:styleId="13">
    <w:name w:val="標1 字元"/>
    <w:link w:val="12"/>
    <w:rsid w:val="00FF0858"/>
    <w:rPr>
      <w:rFonts w:ascii="華康中黑體" w:eastAsia="華康中黑體" w:hAnsi="標楷體" w:cs="Arial"/>
      <w:spacing w:val="-12"/>
      <w:sz w:val="30"/>
      <w:szCs w:val="30"/>
    </w:rPr>
  </w:style>
  <w:style w:type="character" w:customStyle="1" w:styleId="a4">
    <w:name w:val="一 字元"/>
    <w:basedOn w:val="a0"/>
    <w:link w:val="a3"/>
    <w:rsid w:val="00FF0858"/>
    <w:rPr>
      <w:rFonts w:ascii="Times New Roman" w:eastAsia="標楷體" w:hAnsi="Arial" w:cs="Times New Roman"/>
      <w:spacing w:val="-12"/>
      <w:szCs w:val="24"/>
    </w:rPr>
  </w:style>
  <w:style w:type="paragraph" w:customStyle="1" w:styleId="111">
    <w:name w:val="1.11"/>
    <w:basedOn w:val="a"/>
    <w:rsid w:val="00FF0858"/>
    <w:pPr>
      <w:kinsoku w:val="0"/>
      <w:snapToGrid w:val="0"/>
      <w:ind w:left="137" w:hangingChars="70" w:hanging="137"/>
      <w:jc w:val="both"/>
    </w:pPr>
    <w:rPr>
      <w:rFonts w:eastAsia="標楷體"/>
      <w:spacing w:val="-12"/>
      <w:sz w:val="22"/>
      <w:szCs w:val="22"/>
    </w:rPr>
  </w:style>
  <w:style w:type="paragraph" w:customStyle="1" w:styleId="F11">
    <w:name w:val="F11中"/>
    <w:basedOn w:val="a"/>
    <w:rsid w:val="00FF0858"/>
    <w:pPr>
      <w:snapToGrid w:val="0"/>
      <w:spacing w:line="240" w:lineRule="atLeast"/>
      <w:jc w:val="center"/>
    </w:pPr>
    <w:rPr>
      <w:rFonts w:ascii="標楷體" w:eastAsia="標楷體" w:hAnsi="標楷體" w:cs="Arial"/>
      <w:bCs/>
      <w:color w:val="000000"/>
      <w:spacing w:val="-20"/>
      <w:kern w:val="0"/>
      <w:sz w:val="22"/>
      <w:szCs w:val="22"/>
    </w:rPr>
  </w:style>
  <w:style w:type="character" w:customStyle="1" w:styleId="11">
    <w:name w:val="標題 1 字元1"/>
    <w:aliases w:val="字元 字元"/>
    <w:link w:val="1"/>
    <w:rsid w:val="00FF0858"/>
    <w:rPr>
      <w:rFonts w:ascii="華康中黑體" w:eastAsia="華康中黑體" w:hAnsi="標楷體" w:cs="Arial"/>
      <w:b/>
      <w:color w:val="0000FF"/>
      <w:spacing w:val="-10"/>
      <w:sz w:val="30"/>
      <w:szCs w:val="30"/>
    </w:rPr>
  </w:style>
  <w:style w:type="character" w:customStyle="1" w:styleId="20">
    <w:name w:val="標題 2 字元"/>
    <w:basedOn w:val="a0"/>
    <w:link w:val="2"/>
    <w:uiPriority w:val="9"/>
    <w:semiHidden/>
    <w:rsid w:val="00FF085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648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64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8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64808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005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D08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D0845"/>
    <w:pPr>
      <w:autoSpaceDE w:val="0"/>
      <w:autoSpaceDN w:val="0"/>
    </w:pPr>
    <w:rPr>
      <w:rFonts w:ascii="cwTeXHeiBold" w:eastAsia="cwTeXHeiBold" w:hAnsi="cwTeXHeiBold" w:cs="cwTeXHeiBold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6D0845"/>
    <w:rPr>
      <w:rFonts w:ascii="cwTeXHeiBold" w:eastAsia="cwTeXHeiBold" w:hAnsi="cwTeXHeiBold" w:cs="cwTeXHei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0845"/>
    <w:pPr>
      <w:autoSpaceDE w:val="0"/>
      <w:autoSpaceDN w:val="0"/>
    </w:pPr>
    <w:rPr>
      <w:rFonts w:ascii="cwTeXHeiBold" w:eastAsia="cwTeXHeiBold" w:hAnsi="cwTeXHeiBold" w:cs="cwTeXHeiBold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AA72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NkUser</dc:creator>
  <cp:keywords/>
  <dc:description/>
  <cp:lastModifiedBy>NkUser</cp:lastModifiedBy>
  <cp:revision>2</cp:revision>
  <dcterms:created xsi:type="dcterms:W3CDTF">2022-04-19T06:49:00Z</dcterms:created>
  <dcterms:modified xsi:type="dcterms:W3CDTF">2022-04-19T06:49:00Z</dcterms:modified>
</cp:coreProperties>
</file>